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4.png" ContentType="image/png"/>
  <Override PartName="/word/media/rId43.png" ContentType="image/png"/>
  <Override PartName="/word/media/rId41.png" ContentType="image/png"/>
  <Override PartName="/word/media/rId24.png" ContentType="image/png"/>
  <Override PartName="/word/media/rId30.png" ContentType="image/png"/>
  <Override PartName="/word/media/rId29.png" ContentType="image/png"/>
  <Override PartName="/word/media/rId33.png" ContentType="image/png"/>
  <Override PartName="/word/media/rId3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2016-10-24</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both</w:t>
      </w:r>
      <w:r>
        <w:t xml:space="preserve"> </w:t>
      </w:r>
      <w:r>
        <w:t xml:space="preserve">the</w:t>
      </w:r>
      <w:r>
        <w:t xml:space="preserve"> </w:t>
      </w:r>
      <w:r>
        <w:t xml:space="preserve">mammalian</w:t>
      </w:r>
      <w:r>
        <w:t xml:space="preserve"> </w:t>
      </w:r>
      <w:r>
        <w:t xml:space="preserve">and</w:t>
      </w:r>
      <w:r>
        <w:t xml:space="preserve"> </w:t>
      </w:r>
      <w:r>
        <w:t xml:space="preserve">shellfish</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fluctuation.</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the</w:t>
      </w:r>
      <w:r>
        <w:t xml:space="preserve"> </w:t>
      </w:r>
      <w:r>
        <w:t xml:space="preserve">Neolithic.</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this debate has many dimensions. One view in this debate is the claim that agricultural technologies and cultures appeared in Southeast Asia (SEA)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Hutterer 1976),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is sparsely represented in the archaeological record. SEA has a rich and well-documented archaeological record for the later Holocene, when people were living more sedentary lifestyles, for example at Khok Phanom Di in Thailand and Man Bac in Vietnam (Higham and Bannanurang 1991; Oxenham et al. 2011). And, SEA also has many cave and rockshelter sites representing Pleistocene forager lifestyles, such as Tham Lod in Thailand and Xom Trai in Vietnam (Shoocongdej 2006; Moser 2001).</w:t>
      </w:r>
    </w:p>
    <w:p>
      <w:pPr>
        <w:pStyle w:val="BodyText"/>
      </w:pPr>
      <w:r>
        <w:t xml:space="preserve">However, during the middle Holocene, the archaeological record in mainland SEA is particularly sparse. This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The current scarcity of this period in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relatively detailed history of regional sea levels. This provides a unique opportunity to investigate locally contingent factors, such as the effect that sea level changes have on human subsistence behaviours during the transition from forager to agricultural economies. We report on a geoarchaeological analysis of the site to provide a local environmental context of the human occupation. This analysis also aids our understanding of site formation processes and artefact taphonomy.</w:t>
      </w:r>
    </w:p>
    <w:p>
      <w:pPr>
        <w:pStyle w:val="Heading2"/>
      </w:pPr>
      <w:bookmarkStart w:id="23" w:name="background"/>
      <w:bookmarkEnd w:id="23"/>
      <w:r>
        <w:t xml:space="preserve">Background</w:t>
      </w:r>
    </w:p>
    <w:p>
      <w:pPr>
        <w:pStyle w:val="FirstParagraph"/>
      </w:pPr>
      <w:r>
        <w:t xml:space="preserve">Regionally, humans in Southeast Asia change their occupation behaviours from the use of caves and rockshelters to open-air sites during the Holocene (cf. Conrad 2015; Higham 2014); shifting settlement behaviours like these are a direct result of the trainsition to agriculture (White 1995). The Guangxi Province of southern China has extensive evidence of a forager economy with a semi-sedentary lifestyle during c. 7-4 k BP (Higham 2013). Cave occupation continues until 6 k BP in Xianrendong and 5–4 k BP in Zengpiyan, and more than 30 open sites containing shell middens have been found on the terraces of the Zuojiang, Youjiang and Yongjiang rivers near Nanning, in southern Guangxi (Chi and Hung 2012; Fu 2002). Occupation of these sites, characterized by the largest, Dingsishan, spans 10-5.5 k BP.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3.8-3.5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identify. Hang Boi cave in inland northern Vietnam has a thick shell midden that spans 12.3-10.6 k BP (Rabett et al. 2011). At sites in Thailand, there is a gap between cave occupation and open site occupation. At Lang Rongrien rockshelter, in southern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Lloyd-Smith 2014). A key challenge here is that the human burials disturb the stratigraphy, making it difficult to assess continuity between forager occupation and later activity. There is also the possibility that open air sites were continuously occupied in the same way, but have been destroyed due to weather exposure and marine inundation. At extant open air sites, the record starts at around 4 k BP, for example at Khok Phanom Di (Higham and Thosarat 2004) and Nong Nor (Higham and Thosarat 1998), both near the Bang Pakong River, southeast of Bangkok, and at Ban Non Wat in northeast of Thailand (Higham and Kijngam 2011). Occupation at these sites is characterized by human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Documented accounts of this highstand occur in the Straits of Malacca (Streif 1979; Geyh et al. 1979; Hesp et al. 1998), Phuket in southwest Thailand (Scoffin and Le Tissier 1998), and the Malay Peninsula (Tjia 1996; Kamaludin 2001). A combination of the geoidal eustacy and hydro- and glacio-isostacy activity in this region caused the sea level highstand, with magnitude up to +5 m in some locations.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 k BP to a maximum of 2 m amsl at 2.5 k BP. Regression continued from that time until the present sea levels were reached at 1.5 k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Thai-Malay Peninsula. Scoffin and Le Tissier (1998) dated 11 intertidal reef-flat corals (microatolls) to identify a +1 m highstand at about 6 k BP in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 BP, the sea level rose from 0 m to +5 m along the Sunda Shelf, marking the regional mid-Holocene highstand. Following this highstand, the sea level fell gradually and reached the modern level at about 1 k BP. Therefore, the low landscape, such as in the Pang Nga region, makes the coastal karst of Krabi well-suited for assessing local environmental change on human groups during a time of major transitions in subsistence, from foragers to agriculturalists.</w:t>
      </w:r>
    </w:p>
    <w:p>
      <w:pPr>
        <w:pStyle w:val="BodyText"/>
      </w:pPr>
      <w:r>
        <w:t xml:space="preserve">Previous research into archaeological correlates of these sea level changes in peninsular Thailand have been summarized by Anderson (2005). He describes faunal evidence from Lang Rongrien that has increases in marine shellfish abundances around 7.5 k BP and between 4.0 k and 2.5 k BP. Anderson proposes that the increases in marine shellfish at the site are probably related to increases in sea levels. A small number of other sites have been previously investigated in several provinces of peninsular Thailand. For example, Moh Khiew in Krabi with human remains at 25 k BP (Auetrakulvit et al. 2012; Chitkament 2007; Matsumara and Pookajorn 2005; Pookajorn 1994), Tham Khao Khi Chan in Surat Thani Province has occupation layers dating from 6.06 k BP to 4.25 k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5.25 k and 4.75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at these sites provides neither a clear picture of stratigraphic integrity, nor their subsistence behaviour. The goal of our work at Khao Toh Chong is to build on this previous research by collecting an assemblage spanning the Holocene, and by conducting geoarchaeological analyses at the site to assess stratigraphic integrity and provide local environmental context of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 through July 2011, we excavated two areas of 2x2 m to a depth of 1.6 m below the modern ground surface at Khao Toh Chong rockshelter (Figure</w:t>
      </w:r>
      <w:r>
        <w:t xml:space="preserve"> </w:t>
      </w:r>
      <w:r>
        <w:t xml:space="preserve">1</w:t>
      </w:r>
      <w:r>
        <w:t xml:space="preserve">).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with circular mesh.</w:t>
      </w:r>
    </w:p>
    <w:p>
      <w:pPr>
        <w:pStyle w:val="BodyText"/>
      </w:pPr>
      <w:r>
        <w:t xml:space="preserve">Khao Toh Chong rockshelter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this feature also traps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 below the surface. In trench B, excavations were obstructed by bedrock in the northwest and southwest quadrants. Subsequently, excavation depths in trench B extended to approximately 2.0 m in the northeast and southeast quadrants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assist in interpreting the archaeological record, we analysed several physical and chemical attributes of the sediment in the archaeological deposit. Particle size distributions, pH, electrical conductivity (EC), soil organic material (SOM), calcium carbonate content, magnetic susceptibility, x-ray defraction (XRD) and inductively coupled plasma-atomic emission spectrometry (ICP-AES) are indicators of changes in the sources of sediments accumulating at the site and the mechanisms of accumulation. Carbon isotopes, fossil pollen and phytoliths are also indicators of vegetation change. In combination, these physical and chemical attributes help reveal change or stasis in environmental conditions during the time of human occupation at the site, which help us understand the relationship between human behaviour and the mid-Holocene highstand event.</w:t>
      </w:r>
    </w:p>
    <w:p>
      <w:pPr>
        <w:pStyle w:val="BodyText"/>
      </w:pPr>
      <w:r>
        <w:t xml:space="preserve">Bulk sediment samples were collected from a column taken from the south wall of excavation trench A for all sedimentary analyses. Sub-samples of sediment (1 g) from each context were individually dried at 60°C for 24 hours for particle size analysis. Theses sub-samples were sieved to remove the &gt;2 mm particles, and the carbonates were removed by washing the sample in 20 mL of 1 mol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(UW) Materials Science Department. A quartz refraction index of 1.458 was used during analysis and the R package G2Sd v2.1.5 was used to compute summary statistics for this particle size analysis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(Gale and Hoare 1991), which calculates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standard procedures of Gale and Hoare (1991).</w:t>
      </w:r>
    </w:p>
    <w:p>
      <w:pPr>
        <w:pStyle w:val="BodyText"/>
      </w:pPr>
      <w:r>
        <w:t xml:space="preserve">Organic carbon isotope analysis involved sub-sampling 2 g of sediment which was dried at 60°C for 24 hours then sieved for removal of &gt;2mm particle size fraction (Hartman 2011) and organics-- which were picked out and discarded. All steps were completed prior to grinding these samples for 5 minutes using a mortar and pestle. Removal of mineral carbonates involved placing the samples in 60 mL of 1 mol HCl for 24 hours, stirring every 10 hours of the 24 hour period (Millwood and Boutton, 1998). The HCl was neutralized by adding 60 mL of deionized water into the samples for one minute and then drying at 60°C for 48 hours; this step was repeated three times. Isotope measurements were conducted using a Costech Elemental Analyzer, Conflo III, MAT253 at the UW Earth and Space Sciences IsoLab.</w:t>
      </w:r>
    </w:p>
    <w:p>
      <w:pPr>
        <w:pStyle w:val="BodyText"/>
      </w:pPr>
      <w:r>
        <w:t xml:space="preserve">For XRD analysis,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sediment samples were dried for another 60°C for 24 hours. Samples were ground again, then scanned on a Bruker D8 Focus X-ray Diffractometer from 5° to 75° 2θ with a Cu radiation source at resolution 0.02° steps per second with 40 kV and 40 mA power output. MDI Jade 9 software was used to identify minerals.</w:t>
      </w:r>
    </w:p>
    <w:p>
      <w:pPr>
        <w:pStyle w:val="BodyText"/>
      </w:pPr>
      <w:r>
        <w:t xml:space="preserve">Compositional analysis by ICP-AES involved sub-sampling 1 g of sediment from each context. Samples were then prepared using the Misarti et al. (2011) weak-acid element extraction method proir to ICP-AES analysis. Sample preparation involved adding 10 mL of HNO</w:t>
      </w:r>
      <w:r>
        <w:rPr>
          <w:vertAlign w:val="subscript"/>
        </w:rPr>
        <w:t xml:space="preserve">3</w:t>
      </w:r>
      <w:r>
        <w:t xml:space="preserve"> </w:t>
      </w:r>
      <w:r>
        <w:t xml:space="preserve">and then heating samples to 90°C for 15 minutes. Another 5 mL of HNO</w:t>
      </w:r>
      <w:r>
        <w:rPr>
          <w:vertAlign w:val="subscript"/>
        </w:rPr>
        <w:t xml:space="preserve">3</w:t>
      </w:r>
      <w:r>
        <w:t xml:space="preserve"> </w:t>
      </w:r>
      <w:r>
        <w:t xml:space="preserve">was then added and heated at 90°C for 60 minutes. Deionized water, 30% H</w:t>
      </w:r>
      <w:r>
        <w:rPr>
          <w:vertAlign w:val="subscript"/>
        </w:rPr>
        <w:t xml:space="preserve">2</w:t>
      </w:r>
      <w:r>
        <w:t xml:space="preserve">O</w:t>
      </w:r>
      <w:r>
        <w:rPr>
          <w:vertAlign w:val="subscript"/>
        </w:rPr>
        <w:t xml:space="preserve">2</w:t>
      </w:r>
      <w:r>
        <w:t xml:space="preserve">, and 10 mL HCl were added to the samples, and they were heated. Finally, samples were diluted with deionized water and filtered before ICP-AES analysis. This acid digest method provides a broad spectrum of elements in a known volumetric concentration, suitable for ICP-AES analysis (Balcerzak 2002; Carter 1993). The samples were analyzed in a Perkin Elmer Optima 8300DV in the UW Chemistry Department.</w:t>
      </w:r>
    </w:p>
    <w:p>
      <w:pPr>
        <w:pStyle w:val="BodyText"/>
      </w:pPr>
      <w:r>
        <w:t xml:space="preserve">We were unable to extract quantifiable amounts of fossil pollen from the sediment samples (further details are reported in Van Vlack 2014). This is due to the frequent wetting and drying of the rockshelter deposits which created poor conditions for microfloral preservation. There was inorganic preservation of microflora, based on the presence of phytoliths, but these samples have not yet been analyzed (Van Vlack 2014).</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trench A-southwest quadrant of KTC are reported in Conrad et al. (2013) and Van Vlack (2014). To summarise, we conducted faunal identification using comparative collections at the Natural History Museum, National Science Museum of Thailand. Comparative and reference literature included Auetrakulvit (2004), Brandt (1974), and Lekagul and McNeely (1977). Quantification of the assemblage followed Lyman (2008) for taxonomic abundance (NISP and MNI). Analysis of Shannon’s index was modeled after Magurran (2004), and Pielou’s index was modeled after McCune et al. (2002).</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1" w:name="results"/>
      <w:bookmarkEnd w:id="31"/>
      <w:r>
        <w:t xml:space="preserve">Results</w:t>
      </w:r>
    </w:p>
    <w:p>
      <w:pPr>
        <w:pStyle w:val="FirstParagraph"/>
      </w:pPr>
      <w:r>
        <w:t xml:space="preserve">The key findings from the excavation field observations were that the faunal assemblage was deposited with relatively few macroscopic traces of post-depositional disturbance (Figure</w:t>
      </w:r>
      <w:r>
        <w:t xml:space="preserve"> </w:t>
      </w:r>
      <w:r>
        <w:t xml:space="preserve">3</w:t>
      </w:r>
      <w:r>
        <w:t xml:space="preserve">). We did not encounter any human burials or animal burrows and there is very limited termite activity in the deposit. We did not reach bedrock, or sterile deposits,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w:t>
      </w:r>
      <w:r>
        <w:t xml:space="preserve"> </w:t>
      </w:r>
      <w:hyperlink r:id="rId32">
        <w:r>
          <w:rPr>
            <w:rStyle w:val="Hyperlink"/>
          </w:rPr>
          <w:t xml:space="preserve">https://dx.doi.org/10.6084/m9.figshare.2065602.v1</w:t>
        </w:r>
      </w:hyperlink>
      <w:r>
        <w:t xml:space="preserve">.</w:t>
      </w:r>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5" w:name="chronology"/>
      <w:bookmarkEnd w:id="35"/>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ages of these shells are offset from the ages of the charcoal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w:t>
      </w:r>
    </w:p>
    <w:tbl>
      <w:tblPr>
        <w:tblStyle w:val="TableNormal"/>
        <w:tblW w:type="pct" w:w="0.0"/>
        <w:tblLook w:firstRow="1"/>
        <w:tblCaption w:val="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w:t>
            </w:r>
            <w:r>
              <w:rPr>
                <w:vertAlign w:val="subscript"/>
              </w:rPr>
              <w:t xml:space="preserve">3</w:t>
            </w:r>
          </w:p>
        </w:tc>
        <w:tc>
          <w:tcPr>
            <w:tcBorders>
              <w:bottom w:val="single"/>
            </w:tcBorders>
            <w:vAlign w:val="bottom"/>
          </w:tcPr>
          <w:p>
            <w:pPr>
              <w:pStyle w:val="Compact"/>
              <w:jc w:val="left"/>
            </w:pPr>
            <w:r>
              <w:t xml:space="preserve">X</w:t>
            </w:r>
            <w:r>
              <w:rPr>
                <w:vertAlign w:val="subscript"/>
              </w:rPr>
              <w:t xml:space="preserve">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w:t>
            </w:r>
            <w:r>
              <w:rPr>
                <w:vertAlign w:val="superscript"/>
              </w:rPr>
              <w:t xml:space="preserve">13</w:t>
            </w:r>
            <w:r>
              <w:t xml:space="preserve">C</w:t>
            </w:r>
          </w:p>
        </w:tc>
        <w:tc>
          <w:tcPr>
            <w:tcBorders>
              <w:bottom w:val="single"/>
            </w:tcBorders>
            <w:vAlign w:val="bottom"/>
          </w:tcPr>
          <w:p>
            <w:pPr>
              <w:pStyle w:val="Compact"/>
              <w:jc w:val="left"/>
            </w:pPr>
            <w:r>
              <w:t xml:space="preserve">mean size</w:t>
            </w:r>
          </w:p>
        </w:tc>
        <w:tc>
          <w:tcPr>
            <w:tcBorders>
              <w:bottom w:val="single"/>
            </w:tcBorders>
            <w:vAlign w:val="bottom"/>
          </w:tcPr>
          <w:p>
            <w:pPr>
              <w:pStyle w:val="Compact"/>
              <w:jc w:val="left"/>
            </w:pPr>
            <w:r>
              <w:t xml:space="preserve">sd size</w:t>
            </w:r>
          </w:p>
        </w:tc>
      </w:tr>
      <w:tr>
        <w:tc>
          <w:p>
            <w:pPr>
              <w:pStyle w:val="Compact"/>
              <w:jc w:val="left"/>
            </w:pPr>
            <w:r>
              <w:t xml:space="preserve">pH</w:t>
            </w:r>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w:t>
            </w:r>
            <w:r>
              <w:rPr>
                <w:vertAlign w:val="subscript"/>
              </w:rPr>
              <w:t xml:space="preserve">3</w:t>
            </w:r>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w:t>
            </w:r>
            <w:r>
              <w:rPr>
                <w:vertAlign w:val="subscript"/>
              </w:rPr>
              <w:t xml:space="preserve">lf</w:t>
            </w:r>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w:t>
            </w:r>
            <w:r>
              <w:rPr>
                <w:vertAlign w:val="superscript"/>
              </w:rPr>
              <w:t xml:space="preserve">13</w:t>
            </w:r>
            <w:r>
              <w:t xml:space="preserve">C</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 size</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7" w:name="geoarchaeology"/>
      <w:bookmarkEnd w:id="37"/>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4 of trench A,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The pH values at KTC are strongly alkaline throughout, with a shift occurring from pH 9.1 to 7.6 between contexts 5 and 6 of trench A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5 of trench A (0.40 m below surface), indicates an enrichment of magnetic minerals in the deposit. Context 5 has the highest proportion of carbonates (12%), which would reduce magnetic susceptibility; the change in this context is not a simple dilution of magnetic minerals by diamagnetic minerals.</w:t>
      </w:r>
    </w:p>
    <w:p>
      <w:pPr>
        <w:pStyle w:val="Heading4"/>
      </w:pPr>
      <w:bookmarkStart w:id="39" w:name="carbon-isotope-analysis"/>
      <w:bookmarkEnd w:id="39"/>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depleted in more recent times (Figure</w:t>
      </w:r>
      <w:r>
        <w:t xml:space="preserve"> </w:t>
      </w:r>
      <w:r>
        <w:t xml:space="preserve">6</w:t>
      </w:r>
      <w:r>
        <w:t xml:space="preserve">). The tissues of C3 plants have δ</w:t>
      </w:r>
      <w:r>
        <w:rPr>
          <w:vertAlign w:val="superscript"/>
        </w:rPr>
        <w:t xml:space="preserve">13</w:t>
      </w:r>
      <w:r>
        <w:t xml:space="preserve">C values ranging from −32‰ to −20‰, while those of C4 plants range from −17‰ to −9‰ (Deines 1980). This indicates an overall dominance of C3 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0" w:name="x-ray-diffraction"/>
      <w:bookmarkEnd w:id="40"/>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contexts 2, 3, and 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p-value are in parentheses. Strong significant correlations are in bold.</w:t>
      </w:r>
    </w:p>
    <w:tbl>
      <w:tblPr>
        <w:tblStyle w:val="TableNormal"/>
        <w:tblW w:type="pct" w:w="0.0"/>
        <w:tblLook w:firstRow="1"/>
        <w:tblCaption w:val="Table 5: Correlation matrix of elements analysed by ICP-AES. Cell values are Pearson's product-moment correlation coefficient and p-value are in parenthes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bl>
    <w:p>
      <w:pPr>
        <w:pStyle w:val="FigureWithCaption"/>
      </w:pPr>
      <w:r>
        <w:drawing>
          <wp:inline>
            <wp:extent cx="4587290" cy="3669832"/>
            <wp:effectExtent b="0" l="0" r="0" t="0"/>
            <wp:docPr descr="Figure 7: Dendrogram of samples based on hierarchical cluster analysis of ICP-AES results" id="1" name="Picture"/>
            <a:graphic>
              <a:graphicData uri="http://schemas.openxmlformats.org/drawingml/2006/picture">
                <pic:pic>
                  <pic:nvPicPr>
                    <pic:cNvPr descr="../figures/denroelements-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samples based on hierarchical cluster analysis of ICP-AES results</w:t>
      </w:r>
    </w:p>
    <w:p>
      <w:pPr>
        <w:pStyle w:val="Heading4"/>
      </w:pPr>
      <w:bookmarkStart w:id="42" w:name="inductively-coupled-plasma-atomic-emission-spectrometry"/>
      <w:bookmarkEnd w:id="42"/>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3"/>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5" w:name="material-culture"/>
      <w:bookmarkEnd w:id="45"/>
      <w:r>
        <w:t xml:space="preserve">Material culture</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recovered.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vertical displacement via trampling or frequent wetting and drying of the deposits. Frequent episodes of wetting and drying occurred at the site as evidenced by the decomposition of fossil pollen and macrbotanical remains. However, disturbance is not a significant factor at KTC as supported by the mineralogical and sediment particle size data. A similar depositional process occurred at Spirit Cave in northern Thailand (Gorman 1970). For example, radiocarbon dating of residues on ceramics from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w:t>
      </w:r>
    </w:p>
    <w:p>
      <w:pPr>
        <w:pStyle w:val="BodyText"/>
      </w:pPr>
      <w:r>
        <w:t xml:space="preserve">The archaeological sequence at KTC shows signs of change over time, similar to the geoarchaeological sequence described above, indicating that any distubrance which may have occurred has not been so extensive as to completely erase time-ordering of artefacts in the deposits.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w:t>
            </w:r>
          </w:p>
        </w:tc>
        <w:tc>
          <w:p>
            <w:pPr>
              <w:pStyle w:val="Compact"/>
              <w:jc w:val="left"/>
            </w:pPr>
            <w:r>
              <w:t xml:space="preserve">5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w:t>
            </w:r>
          </w:p>
        </w:tc>
        <w:tc>
          <w:p>
            <w:pPr>
              <w:pStyle w:val="Compact"/>
              <w:jc w:val="left"/>
            </w:pPr>
            <w:r>
              <w:t xml:space="preserve">21 (1)</w:t>
            </w:r>
          </w:p>
        </w:tc>
        <w:tc>
          <w:p>
            <w:pPr>
              <w:pStyle w:val="Compact"/>
              <w:jc w:val="left"/>
            </w:pPr>
            <w:r>
              <w:t xml:space="preserve">1 (1)</w:t>
            </w:r>
          </w:p>
        </w:tc>
        <w:tc>
          <w:p>
            <w:pPr>
              <w:pStyle w:val="Compact"/>
              <w:jc w:val="left"/>
            </w:pPr>
            <w:r>
              <w:t xml:space="preserve">43 (1)</w:t>
            </w:r>
          </w:p>
        </w:tc>
        <w:tc>
          <w:p>
            <w:pPr>
              <w:pStyle w:val="Compact"/>
              <w:jc w:val="left"/>
            </w:pPr>
            <w:r>
              <w:t xml:space="preserve">17 (1)</w:t>
            </w:r>
          </w:p>
        </w:tc>
        <w:tc>
          <w:p>
            <w:pPr>
              <w:pStyle w:val="Compact"/>
              <w:jc w:val="left"/>
            </w:pPr>
            <w:r>
              <w:t xml:space="preserve">11 (1)</w:t>
            </w:r>
          </w:p>
        </w:tc>
        <w:tc>
          <w:p>
            <w:pPr>
              <w:pStyle w:val="Compact"/>
              <w:jc w:val="left"/>
            </w:pPr>
            <w:r>
              <w:t xml:space="preserve">43 (2)</w:t>
            </w:r>
          </w:p>
        </w:tc>
        <w:tc>
          <w:p>
            <w:pPr>
              <w:pStyle w:val="Compact"/>
              <w:jc w:val="left"/>
            </w:pPr>
            <w:r>
              <w:t xml:space="preserve">32 (1)</w:t>
            </w:r>
          </w:p>
        </w:tc>
        <w:tc>
          <w:p>
            <w:pPr>
              <w:pStyle w:val="Compact"/>
              <w:jc w:val="left"/>
            </w:pPr>
            <w:r>
              <w:t xml:space="preserve">4 (1)</w:t>
            </w:r>
          </w:p>
        </w:tc>
        <w:tc>
          <w:p>
            <w:pPr>
              <w:pStyle w:val="Compact"/>
              <w:jc w:val="left"/>
            </w:pPr>
            <w:r>
              <w:t xml:space="preserve">43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1 (1)</w:t>
            </w:r>
          </w:p>
        </w:tc>
        <w:tc>
          <w:p>
            <w:pPr>
              <w:pStyle w:val="Compact"/>
              <w:jc w:val="left"/>
            </w:pPr>
            <w:r>
              <w:t xml:space="preserve">0 (0)</w:t>
            </w:r>
          </w:p>
        </w:tc>
        <w:tc>
          <w:p>
            <w:pPr>
              <w:pStyle w:val="Compact"/>
              <w:jc w:val="left"/>
            </w:pPr>
            <w:r>
              <w:t xml:space="preserve">3 (1)</w:t>
            </w:r>
          </w:p>
        </w:tc>
        <w:tc>
          <w:p>
            <w:pPr>
              <w:pStyle w:val="Compact"/>
              <w:jc w:val="left"/>
            </w:pPr>
            <w:r>
              <w:t xml:space="preserve">7 (1)</w:t>
            </w:r>
          </w:p>
        </w:tc>
        <w:tc>
          <w:p>
            <w:pPr>
              <w:pStyle w:val="Compact"/>
              <w:jc w:val="left"/>
            </w:pPr>
            <w:r>
              <w:t xml:space="preserve">6 (1)</w:t>
            </w:r>
          </w:p>
        </w:tc>
        <w:tc>
          <w:p>
            <w:pPr>
              <w:pStyle w:val="Compact"/>
              <w:jc w:val="left"/>
            </w:pPr>
            <w:r>
              <w:t xml:space="preserve">14 (1)</w:t>
            </w:r>
          </w:p>
        </w:tc>
        <w:tc>
          <w:p>
            <w:pPr>
              <w:pStyle w:val="Compact"/>
              <w:jc w:val="left"/>
            </w:pPr>
            <w:r>
              <w:t xml:space="preserve">2 (1)</w:t>
            </w:r>
          </w:p>
        </w:tc>
        <w:tc>
          <w:p>
            <w:pPr>
              <w:pStyle w:val="Compact"/>
              <w:jc w:val="left"/>
            </w:pPr>
            <w:r>
              <w:t xml:space="preserve">2 (1)</w:t>
            </w:r>
          </w:p>
        </w:tc>
        <w:tc>
          <w:p>
            <w:pPr>
              <w:pStyle w:val="Compact"/>
              <w:jc w:val="left"/>
            </w:pPr>
            <w:r>
              <w:t xml:space="preserve">4 (1)</w:t>
            </w:r>
          </w:p>
        </w:tc>
        <w:tc>
          <w:p>
            <w:pPr>
              <w:pStyle w:val="Compact"/>
              <w:jc w:val="left"/>
            </w:pPr>
            <w:r>
              <w:t xml:space="preserve">39 (8)</w:t>
            </w:r>
          </w:p>
        </w:tc>
      </w:tr>
      <w:tr>
        <w:tc>
          <w:p>
            <w:pPr>
              <w:pStyle w:val="Compact"/>
              <w:jc w:val="left"/>
            </w:pPr>
            <w:r>
              <w:t xml:space="preserve">Pythonidae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w:t>
            </w:r>
          </w:p>
        </w:tc>
        <w:tc>
          <w:p>
            <w:pPr>
              <w:pStyle w:val="Compact"/>
              <w:jc w:val="left"/>
            </w:pPr>
            <w:r>
              <w:t xml:space="preserve">2 (1)</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6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1 (1)</w:t>
            </w:r>
          </w:p>
        </w:tc>
        <w:tc>
          <w:p>
            <w:pPr>
              <w:pStyle w:val="Compact"/>
              <w:jc w:val="left"/>
            </w:pPr>
            <w:r>
              <w:t xml:space="preserve">2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r>
      <w:tr>
        <w:tc>
          <w:p>
            <w:pPr>
              <w:pStyle w:val="Compact"/>
              <w:jc w:val="left"/>
            </w:pPr>
            <w:r>
              <w:t xml:space="preserve">Rodentia</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(1)</w:t>
            </w:r>
          </w:p>
        </w:tc>
        <w:tc>
          <w:p>
            <w:pPr>
              <w:pStyle w:val="Compact"/>
              <w:jc w:val="left"/>
            </w:pPr>
            <w:r>
              <w:t xml:space="preserve">0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3 (1)</w:t>
            </w:r>
          </w:p>
        </w:tc>
        <w:tc>
          <w:p>
            <w:pPr>
              <w:pStyle w:val="Compact"/>
              <w:jc w:val="left"/>
            </w:pPr>
            <w:r>
              <w:t xml:space="preserve">5 (2)</w:t>
            </w:r>
          </w:p>
        </w:tc>
      </w:tr>
      <w:tr>
        <w:tc>
          <w:p>
            <w:pPr>
              <w:pStyle w:val="Compact"/>
              <w:jc w:val="left"/>
            </w:pPr>
            <w:r>
              <w:t xml:space="preserve">Bovinae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29 (4)</w:t>
            </w:r>
          </w:p>
        </w:tc>
        <w:tc>
          <w:p>
            <w:pPr>
              <w:pStyle w:val="Compact"/>
              <w:jc w:val="left"/>
            </w:pPr>
            <w:r>
              <w:t xml:space="preserve">1 (1)</w:t>
            </w:r>
          </w:p>
        </w:tc>
        <w:tc>
          <w:p>
            <w:pPr>
              <w:pStyle w:val="Compact"/>
              <w:jc w:val="left"/>
            </w:pPr>
            <w:r>
              <w:t xml:space="preserve">54 (5)</w:t>
            </w:r>
          </w:p>
        </w:tc>
        <w:tc>
          <w:p>
            <w:pPr>
              <w:pStyle w:val="Compact"/>
              <w:jc w:val="left"/>
            </w:pPr>
            <w:r>
              <w:t xml:space="preserve">24 (2)</w:t>
            </w:r>
          </w:p>
        </w:tc>
        <w:tc>
          <w:p>
            <w:pPr>
              <w:pStyle w:val="Compact"/>
              <w:jc w:val="left"/>
            </w:pPr>
            <w:r>
              <w:t xml:space="preserve">17 (2)</w:t>
            </w:r>
          </w:p>
        </w:tc>
        <w:tc>
          <w:p>
            <w:pPr>
              <w:pStyle w:val="Compact"/>
              <w:jc w:val="left"/>
            </w:pPr>
            <w:r>
              <w:t xml:space="preserve">60 (6)</w:t>
            </w:r>
          </w:p>
        </w:tc>
        <w:tc>
          <w:p>
            <w:pPr>
              <w:pStyle w:val="Compact"/>
              <w:jc w:val="left"/>
            </w:pPr>
            <w:r>
              <w:t xml:space="preserve">52 (9)</w:t>
            </w:r>
          </w:p>
        </w:tc>
        <w:tc>
          <w:p>
            <w:pPr>
              <w:pStyle w:val="Compact"/>
              <w:jc w:val="left"/>
            </w:pPr>
            <w:r>
              <w:t xml:space="preserve">9 (4)</w:t>
            </w:r>
          </w:p>
        </w:tc>
        <w:tc>
          <w:p>
            <w:pPr>
              <w:pStyle w:val="Compact"/>
              <w:jc w:val="left"/>
            </w:pPr>
            <w:r>
              <w:t xml:space="preserve">58 (8)</w:t>
            </w:r>
          </w:p>
        </w:tc>
        <w:tc>
          <w:p>
            <w:pPr>
              <w:pStyle w:val="Compact"/>
              <w:jc w:val="left"/>
            </w:pPr>
            <w:r>
              <w:t xml:space="preserve">304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66 (0)</w:t>
            </w:r>
          </w:p>
        </w:tc>
        <w:tc>
          <w:p>
            <w:pPr>
              <w:pStyle w:val="Compact"/>
              <w:jc w:val="left"/>
            </w:pPr>
            <w:r>
              <w:t xml:space="preserve">191 (0)</w:t>
            </w:r>
          </w:p>
        </w:tc>
        <w:tc>
          <w:p>
            <w:pPr>
              <w:pStyle w:val="Compact"/>
              <w:jc w:val="left"/>
            </w:pPr>
            <w:r>
              <w:t xml:space="preserve">18 (0)</w:t>
            </w:r>
          </w:p>
        </w:tc>
        <w:tc>
          <w:p>
            <w:pPr>
              <w:pStyle w:val="Compact"/>
              <w:jc w:val="left"/>
            </w:pPr>
            <w:r>
              <w:t xml:space="preserve">367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2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12 (1)</w:t>
            </w:r>
          </w:p>
        </w:tc>
        <w:tc>
          <w:p>
            <w:pPr>
              <w:pStyle w:val="Compact"/>
              <w:jc w:val="left"/>
            </w:pPr>
            <w:r>
              <w:t xml:space="preserve">20 (28)</w:t>
            </w:r>
          </w:p>
        </w:tc>
        <w:tc>
          <w:p>
            <w:pPr>
              <w:pStyle w:val="Compact"/>
              <w:jc w:val="left"/>
            </w:pPr>
            <w:r>
              <w:t xml:space="preserve">5 (5)</w:t>
            </w:r>
          </w:p>
        </w:tc>
        <w:tc>
          <w:p>
            <w:pPr>
              <w:pStyle w:val="Compact"/>
              <w:jc w:val="left"/>
            </w:pPr>
            <w:r>
              <w:t xml:space="preserve">27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71 (52)</w:t>
            </w:r>
          </w:p>
        </w:tc>
        <w:tc>
          <w:p>
            <w:pPr>
              <w:pStyle w:val="Compact"/>
              <w:jc w:val="left"/>
            </w:pPr>
            <w:r>
              <w:t xml:space="preserve">115 (82)</w:t>
            </w:r>
          </w:p>
        </w:tc>
        <w:tc>
          <w:p>
            <w:pPr>
              <w:pStyle w:val="Compact"/>
              <w:jc w:val="left"/>
            </w:pPr>
            <w:r>
              <w:t xml:space="preserve">3390 (1584)</w:t>
            </w:r>
          </w:p>
        </w:tc>
        <w:tc>
          <w:p>
            <w:pPr>
              <w:pStyle w:val="Compact"/>
              <w:jc w:val="left"/>
            </w:pPr>
            <w:r>
              <w:t xml:space="preserve">545 (2215)</w:t>
            </w:r>
          </w:p>
        </w:tc>
        <w:tc>
          <w:p>
            <w:pPr>
              <w:pStyle w:val="Compact"/>
              <w:jc w:val="left"/>
            </w:pPr>
            <w:r>
              <w:t xml:space="preserve">583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1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(2)</w:t>
            </w:r>
          </w:p>
        </w:tc>
        <w:tc>
          <w:p>
            <w:pPr>
              <w:pStyle w:val="Compact"/>
              <w:jc w:val="left"/>
            </w:pPr>
            <w:r>
              <w:t xml:space="preserve">0 (4)</w:t>
            </w:r>
          </w:p>
        </w:tc>
        <w:tc>
          <w:p>
            <w:pPr>
              <w:pStyle w:val="Compact"/>
              <w:jc w:val="left"/>
            </w:pPr>
            <w:r>
              <w:t xml:space="preserve">0 (0)</w:t>
            </w:r>
          </w:p>
        </w:tc>
        <w:tc>
          <w:p>
            <w:pPr>
              <w:pStyle w:val="Compact"/>
              <w:jc w:val="left"/>
            </w:pPr>
            <w:r>
              <w:t xml:space="preserve">13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5 (2)</w:t>
            </w:r>
          </w:p>
        </w:tc>
        <w:tc>
          <w:p>
            <w:pPr>
              <w:pStyle w:val="Compact"/>
              <w:jc w:val="left"/>
            </w:pPr>
            <w:r>
              <w:t xml:space="preserve">3 (3)</w:t>
            </w:r>
          </w:p>
        </w:tc>
        <w:tc>
          <w:p>
            <w:pPr>
              <w:pStyle w:val="Compact"/>
              <w:jc w:val="left"/>
            </w:pPr>
            <w:r>
              <w:t xml:space="preserve">3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5 (2)</w:t>
            </w:r>
          </w:p>
        </w:tc>
        <w:tc>
          <w:p>
            <w:pPr>
              <w:pStyle w:val="Compact"/>
              <w:jc w:val="left"/>
            </w:pPr>
            <w:r>
              <w:t xml:space="preserve">11 (10)</w:t>
            </w:r>
          </w:p>
        </w:tc>
        <w:tc>
          <w:p>
            <w:pPr>
              <w:pStyle w:val="Compact"/>
              <w:jc w:val="left"/>
            </w:pPr>
            <w:r>
              <w:t xml:space="preserve">5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(6)</w:t>
            </w:r>
          </w:p>
        </w:tc>
        <w:tc>
          <w:p>
            <w:pPr>
              <w:pStyle w:val="Compact"/>
              <w:jc w:val="left"/>
            </w:pPr>
            <w:r>
              <w:t xml:space="preserve">0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3 (2)</w:t>
            </w:r>
          </w:p>
        </w:tc>
        <w:tc>
          <w:p>
            <w:pPr>
              <w:pStyle w:val="Compact"/>
              <w:jc w:val="left"/>
            </w:pPr>
            <w:r>
              <w:t xml:space="preserve">3 (3)</w:t>
            </w:r>
          </w:p>
        </w:tc>
        <w:tc>
          <w:p>
            <w:pPr>
              <w:pStyle w:val="Compact"/>
              <w:jc w:val="left"/>
            </w:pPr>
            <w:r>
              <w:t xml:space="preserve">5 (4)</w:t>
            </w:r>
          </w:p>
        </w:tc>
        <w:tc>
          <w:p>
            <w:pPr>
              <w:pStyle w:val="Compact"/>
              <w:jc w:val="left"/>
            </w:pPr>
            <w:r>
              <w:t xml:space="preserve">0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93 (58)</w:t>
            </w:r>
          </w:p>
        </w:tc>
        <w:tc>
          <w:p>
            <w:pPr>
              <w:pStyle w:val="Compact"/>
              <w:jc w:val="left"/>
            </w:pPr>
            <w:r>
              <w:t xml:space="preserve">221 (110)</w:t>
            </w:r>
          </w:p>
        </w:tc>
        <w:tc>
          <w:p>
            <w:pPr>
              <w:pStyle w:val="Compact"/>
              <w:jc w:val="left"/>
            </w:pPr>
            <w:r>
              <w:t xml:space="preserve">3643 (1647)</w:t>
            </w:r>
          </w:p>
        </w:tc>
        <w:tc>
          <w:p>
            <w:pPr>
              <w:pStyle w:val="Compact"/>
              <w:jc w:val="left"/>
            </w:pPr>
            <w:r>
              <w:t xml:space="preserve">574 (2234)</w:t>
            </w:r>
          </w:p>
        </w:tc>
        <w:tc>
          <w:p>
            <w:pPr>
              <w:pStyle w:val="Compact"/>
              <w:jc w:val="left"/>
            </w:pPr>
            <w:r>
              <w:t xml:space="preserve">988 (815)</w:t>
            </w:r>
          </w:p>
        </w:tc>
        <w:tc>
          <w:p>
            <w:pPr>
              <w:pStyle w:val="Compact"/>
              <w:jc w:val="left"/>
            </w:pPr>
            <w:r>
              <w:t xml:space="preserve">5687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0.000</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6" w:name="zooarchaeology"/>
      <w:bookmarkEnd w:id="46"/>
      <w:r>
        <w:t xml:space="preserve">Zooarchaeology</w:t>
      </w:r>
    </w:p>
    <w:p>
      <w:pPr>
        <w:pStyle w:val="FirstParagraph"/>
      </w:pPr>
      <w:r>
        <w:t xml:space="preserve">Mammalian abundance and distribution at the rockshelter throughout the Late 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 Pleistocene and Early Holocene period suggests that a more open and drier forest habitat surrounded the rockshelter during that time (Francis 2008).</w:t>
      </w:r>
    </w:p>
    <w:p>
      <w:pPr>
        <w:pStyle w:val="BodyText"/>
      </w:pPr>
      <w:r>
        <w:t xml:space="preserve">The values for dietary evenness per context, of the mammalian, reptilian, and fish taxa appears to be driven primarily by the presence or absence of carapace elements (Van Vlack 2014). Carapace recovered at KTC likely belong to the Order Testudines and represents species of the turtle Family Trionychidae and Geoemyidae. This identification is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Testudines elements. Overall, the presence of vertebrate remains was relatively low when compared to the abundance of invertebrate remains at the rockshelter. Artiodactyls are notably restricted to the Late Pleistocene and Early Holocene deposits.</w:t>
      </w:r>
    </w:p>
    <w:p>
      <w:pPr>
        <w:pStyle w:val="BodyText"/>
      </w:pPr>
      <w:r>
        <w:t xml:space="preserve">Of the identified invertebrates, nine taxa were identified to the species level while an additional fourteen were identified to a broader degree of taxonomy (Table</w:t>
      </w:r>
      <w:r>
        <w:t xml:space="preserve"> </w:t>
      </w:r>
      <w:r>
        <w:t xml:space="preserve">8</w:t>
      </w:r>
      <w:r>
        <w:t xml:space="preserve">). Mollusk species richness varies between 0-11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 Pleistocene and Early Holocene. When combined with shells from the Family Amblemidae and Cyclophoridae, these three taxa account for 97% of the identified mollusks at KTC (Conrad et al. 2013).</w:t>
      </w:r>
    </w:p>
    <w:p>
      <w:pPr>
        <w:pStyle w:val="BodyText"/>
      </w:pPr>
      <w:r>
        <w:t xml:space="preserve">For all identified fauna, MNI and logNISP values for each context are strongly correlated (r = 0.647, df = 7, p = 0.06), indicating that the rate of fragmentation is constant (Lyman 2008). Ecological indices of taxonomic diversity and evenness vary over time, suggesting complexities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Generally, the geoarchaeoloical data is subtle, with mostly uncoordinated changes in the variables we measured; although, there are some important correlations that aid the interpretation of the palaeoenvironmental context of the site. We interpret this as indicative of relatively constant conditions of deposition and an absence of massive homogenising processing that would have erased the trends we see in the geoarchaeological variables. The sediment texture suggests a mixture of aeolian, colluvial and fluvial inputs, typical of cave and rockshelter deposits in the tropics (cf. Westaway et al. 2009). The composition of the sediments varies little over time, as indicated by the measurements of organic matter, carbonates and pH in the bulk samples, and the ICP-AES data.</w:t>
      </w:r>
    </w:p>
    <w:p>
      <w:pPr>
        <w:pStyle w:val="BodyText"/>
      </w:pPr>
      <w:r>
        <w:t xml:space="preserve">Inspection of the KTC data suggests that the frequency dependency (fd) values track mean particle size (mean_size) more closely than they track magnetic susceptibility (Xlf); this indicates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deposit (Table</w:t>
      </w:r>
      <w:r>
        <w:t xml:space="preserve"> </w:t>
      </w:r>
      <w:r>
        <w:t xml:space="preserve">2</w:t>
      </w:r>
      <w:r>
        <w:t xml:space="preserve">), which is the opposite of what would expected if pedogenesis was an important enriching process. This suggests that the enhancement of susceptibility may have occured off-site, rather than through</w:t>
      </w:r>
      <w:r>
        <w:t xml:space="preserve"> </w:t>
      </w:r>
      <w:r>
        <w:rPr>
          <w:i/>
        </w:rPr>
        <w:t xml:space="preserve">in situ</w:t>
      </w:r>
      <w:r>
        <w:t xml:space="preserve"> </w:t>
      </w:r>
      <w:r>
        <w:t xml:space="preserve">processes in the deposit. If the magnetic susceptibility signal is probably not coupled to anthropogenic burning at the site, the high values at 0.40 m below surface (c. 4-5 k cal. BP) may indicate warmer/wetter conditions. The mechanism linking higher sediment magnetic susceptibility values to warmer/wetter conditions has been described by Ellwood et al. (1997) as due to high production of maghemite from higher pedogenetic rates on the landscape, with enriched sediments washing into and forming site deposits. At KTC we may be identifying signals of increased site use through artefact discard rates, which peak in context 4 and 5, as people sought shelter during warmer/wetter conditions.</w:t>
      </w:r>
    </w:p>
    <w:p>
      <w:pPr>
        <w:pStyle w:val="BodyText"/>
      </w:pPr>
      <w:r>
        <w:t xml:space="preserve">Carbon isotope values indicate a consistent dominance of C</w:t>
      </w:r>
      <w:r>
        <w:rPr>
          <w:vertAlign w:val="subscript"/>
        </w:rPr>
        <w:t xml:space="preserve">3</w:t>
      </w:r>
      <w:r>
        <w:t xml:space="preserve"> </w:t>
      </w:r>
      <w:r>
        <w:t xml:space="preserve">plants at the site over time, similar to the present-day environment. The small monotonic depletion in carbon isotope values throughout the Holocene suggests that the deposit has some stratigraphic integrity, despite the anomalously deep finds of ceramics. The depletion in carbon isotope values may be due to several factors, including changes in the ratio of C</w:t>
      </w:r>
      <w:r>
        <w:rPr>
          <w:vertAlign w:val="subscript"/>
        </w:rPr>
        <w:t xml:space="preserve">3</w:t>
      </w:r>
      <w:r>
        <w:t xml:space="preserve"> </w:t>
      </w:r>
      <w:r>
        <w:t xml:space="preserve">and C</w:t>
      </w:r>
      <w:r>
        <w:rPr>
          <w:vertAlign w:val="subscript"/>
        </w:rPr>
        <w:t xml:space="preserve">4</w:t>
      </w:r>
      <w:r>
        <w:t xml:space="preserve"> </w:t>
      </w:r>
      <w:r>
        <w:t xml:space="preserve">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as the SOM increases the carbon isotope values become increasingly depleted. This is the opposite of what is usually expected when SOM is the primary mechanism controlling carbon isotope values in shallow deposits such as KTC, because SOM often enriches δ</w:t>
      </w:r>
      <w:r>
        <w:rPr>
          <w:vertAlign w:val="superscript"/>
        </w:rPr>
        <w:t xml:space="preserve">13</w:t>
      </w:r>
      <w:r>
        <w:t xml:space="preserve">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w:t>
      </w:r>
      <w:r>
        <w:rPr>
          <w:vertAlign w:val="subscript"/>
        </w:rPr>
        <w:t xml:space="preserve">4</w:t>
      </w:r>
      <w:r>
        <w:t xml:space="preserve">/C</w:t>
      </w:r>
      <w:r>
        <w:rPr>
          <w:vertAlign w:val="subscript"/>
        </w:rPr>
        <w:t xml:space="preserve">3</w:t>
      </w:r>
      <w:r>
        <w:t xml:space="preserve"> </w:t>
      </w:r>
      <w:r>
        <w:t xml:space="preserve">plants over time.</w:t>
      </w:r>
    </w:p>
    <w:p>
      <w:pPr>
        <w:pStyle w:val="BodyText"/>
      </w:pPr>
      <w:r>
        <w:t xml:space="preserve">Aridity and temperature are important factors in controlling this ratio, but their exact relationships vary from region to region (Pagani et al. 1999; Huang et al. 2001; Schefuβ et al. 2003; Zhang et al. 2003). C</w:t>
      </w:r>
      <w:r>
        <w:rPr>
          <w:vertAlign w:val="subscript"/>
        </w:rPr>
        <w:t xml:space="preserve">4</w:t>
      </w:r>
      <w:r>
        <w:t xml:space="preserve"> </w:t>
      </w:r>
      <w:r>
        <w:t xml:space="preserve">photosynthesis is often associated with warm-season precipitation, dry/hot environments, and high light intensities because C</w:t>
      </w:r>
      <w:r>
        <w:rPr>
          <w:vertAlign w:val="subscript"/>
        </w:rPr>
        <w:t xml:space="preserve">4</w:t>
      </w:r>
      <w:r>
        <w:t xml:space="preserve"> </w:t>
      </w:r>
      <w:r>
        <w:t xml:space="preserve">plants are more efficient than C</w:t>
      </w:r>
      <w:r>
        <w:rPr>
          <w:vertAlign w:val="subscript"/>
        </w:rPr>
        <w:t xml:space="preserve">3</w:t>
      </w:r>
      <w:r>
        <w:t xml:space="preserve"> </w:t>
      </w:r>
      <w:r>
        <w:t xml:space="preserve">species in their use of water, light, and nitrogen (Sage 1999; Pagani et al. 1999). This means that C</w:t>
      </w:r>
      <w:r>
        <w:rPr>
          <w:vertAlign w:val="subscript"/>
        </w:rPr>
        <w:t xml:space="preserve">3</w:t>
      </w:r>
      <w:r>
        <w:t xml:space="preserve"> </w:t>
      </w:r>
      <w:r>
        <w:t xml:space="preserve">plants are favored over C</w:t>
      </w:r>
      <w:r>
        <w:rPr>
          <w:vertAlign w:val="subscript"/>
        </w:rPr>
        <w:t xml:space="preserve">4</w:t>
      </w:r>
      <w:r>
        <w:t xml:space="preserve"> </w:t>
      </w:r>
      <w:r>
        <w:t xml:space="preserve">plants at times of lower temperature and winter precipitation or during periods of decreased East Asian summer monsoon strength. In the upper 0.2 m, around 3-2 k cal BP, at KTC we see increasingly depleted δ</w:t>
      </w:r>
      <w:r>
        <w:rPr>
          <w:vertAlign w:val="superscript"/>
        </w:rPr>
        <w:t xml:space="preserve">13</w:t>
      </w:r>
      <w:r>
        <w:t xml:space="preserve">C values, suggesting a reduction in C4 plants as a result of cooler and dryer conditions relative to the Early Holocene. This is consistent with cooler/dryer conditions indicated by a decrease in magnetic susceptibility occurring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Future work should investigate carbon isotope values of leaf wax n-alkanes because these are more diagnostic than those from bulk sediments, which contains materials of both terrestrial and aquatic origin.</w:t>
      </w:r>
    </w:p>
    <w:p>
      <w:pPr>
        <w:pStyle w:val="BodyText"/>
      </w:pPr>
      <w:r>
        <w:t xml:space="preserve">The magnetic susceptibility and carbon isotope data indicate a transition from warmer/wetter conditions at 5-4 k cal. BP to dryer conditions around 3-2 k cal. BP. There are very few nearby comparable records spanning this period, but our interpretations are consisitent with a strong Asian summer monsoon in the Early Holocene, and weakening into the Middle and Late Holocene (Cook and Jones 2012). Lake sediment sequences from northeast Thailand indicate peak Holocene wetness slightly earlier than KTC, at around 7 k and 6.6 k cal. BP, followed by dry conditions between 5.4 k and 4 k cal. BP (Wohlfarth et al. 2016; Chabangborn and Wohlfarth 2014). There are multiple long hiatuses in the northeast Thailand sequences between c. 6.4 k and 1.8 k cal. BP (Wohlfarth et al. 2016), and climate proxies from this period are complicated by inputs resulting from humans burning forests and cultivating crops (White et al. 2004; Kealhofer and Penny 1998). Hydrogen isotope data shows that moisture availability was low around 2.7-2.3 k cal. BP, and macroscopic charcoal was high between approximately 3.5 k and 2.1 k cal. BP (Wohlfarth et al. 2016). However, the Wohlfarth et al. (2016) hydrogren isotope summary does not account for the potential of atmospheric exchange between the sample location and analysis lab (see Chawchai et al. 2016). Regardless, these signals are consistent with the dryer conditions observed at 3-2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analysis. If these were correlated,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context 1 of trench B, and trench A's contexts 4, 7U and 7L are notable because they are relatively enriched with Ca and Mg, but this is not correlated with carbonates measured by loss on ignition. Overall, the element distributions suggest low variation over time. This homogeneity in the composition of the deposits is consistent with a single source of sediment throughout the history of site formation at KTC.</w:t>
      </w:r>
    </w:p>
    <w:p>
      <w:pPr>
        <w:pStyle w:val="Heading3"/>
      </w:pPr>
      <w:bookmarkStart w:id="49" w:name="zooarchaeological-assemblage"/>
      <w:bookmarkEnd w:id="49"/>
      <w:r>
        <w:t xml:space="preserve">Zooarchaeological assemblage</w:t>
      </w:r>
    </w:p>
    <w:p>
      <w:pPr>
        <w:pStyle w:val="FirstParagraph"/>
      </w:pPr>
      <w:r>
        <w:t xml:space="preserve">KTC rockshelter has a relatively undisturbed mammalian, reptilian, fish, and molluscan assemblage. Of the taxa recovered at KTC, the riparian fauna is the best indicator of changing forager behavior during the "missing millennia," highlighting the environmental constraints on resource availability.</w:t>
      </w:r>
      <w:r>
        <w:t xml:space="preserve"> </w:t>
      </w:r>
      <w:r>
        <w:rPr>
          <w:i/>
        </w:rPr>
        <w:t xml:space="preserve">Neoradina prasongi</w:t>
      </w:r>
      <w:r>
        <w:t xml:space="preserve"> </w:t>
      </w:r>
      <w:r>
        <w:t xml:space="preserve">shells constitute the bulk of molluscan food waste in the archaeological assemblage; these gastropods inhabit fresh water stream environments (Brandt 1974), which were likely close in proximity to the rockshelter during this time. Peak discard rates for</w:t>
      </w:r>
      <w:r>
        <w:t xml:space="preserve"> </w:t>
      </w:r>
      <w:r>
        <w:rPr>
          <w:i/>
        </w:rPr>
        <w:t xml:space="preserve">N. prasongi</w:t>
      </w:r>
      <w:r>
        <w:t xml:space="preserve"> </w:t>
      </w:r>
      <w:r>
        <w:t xml:space="preserve">at KTC occurred at c. 9 k cal BP, suggesting that the most intensive use of the rockshelter for subsistence purposes occurred during the Early Holocene. The abundant turtle or tortoise remains at KTC also suggest that fresh water stream habitats were found near the site. Since KTC was close in proximity to a number of other cave and rockshelter sites with relatively similar chronological and subsistence regimes, it is possible that foragers in this region employed a complex mobility strategy to access fresh water resources and shelter (Brantingham 1991; Conrad et al. 2016; Mheetong 2014; Rabett and Barker 2010; Shoocongdej 2000).</w:t>
      </w:r>
    </w:p>
    <w:p>
      <w:pPr>
        <w:pStyle w:val="BodyText"/>
      </w:pPr>
      <w:r>
        <w:t xml:space="preserve">The declining evidence of freshwater</w:t>
      </w:r>
      <w:r>
        <w:t xml:space="preserve"> </w:t>
      </w:r>
      <w:r>
        <w:rPr>
          <w:i/>
        </w:rPr>
        <w:t xml:space="preserve">N. prasongi</w:t>
      </w:r>
      <w:r>
        <w:t xml:space="preserve"> </w:t>
      </w:r>
      <w:r>
        <w:t xml:space="preserve">mollusk exploitation occurs in the Holocene, reaching a minimum at 6 k cal BP. Two possibilities may explain this decline; either there is an regional ecological shift from freshwater to mangrove swamp habitats, or changes in the foraging behaviours of prehistoric groups (Shoocongdej 2000, 2010). The timing of the lowest amount of shells in the deposit coincides with the peak sea levels previously summarised in this paper.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 Holocene may be associated with the emergence of rice agriculture and farming in mainland Southeast (Castillo 2011; Fuller 2011; White et al. 2004). Thus, declines in mollusk utilization may reflect a pattern of rising sea levels. The mechanism here may be a reduction in the availability of suitable mollusk procurement locations, favoring the adoption of agriculture during the Mid and Late Holocene in Peninsular Thailand as a response to these sea level changes. Shell exploitation picks up again at KTC at c. 3 k cal BP, coincident with the regressive phase at 3.7 k to 2.7 k cal. BP described by Sinsakul (1992). This is also when site use changes, with more frequent visits suggested by peaks in the discard of ceramics and lithics.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may have occurred, not during the terminal Pleistocene (Bulbeck 2003; Conrad 2015). The earlier peak in the molluscan assemblage at KTC suggests that a different pattern of shellfish exploitation occurred here, one that we link to local environmental conditions controlled by sea level changes (see also Van Vlack 2014:79-96). Further afield, we find that KTC is very similar to Bubog I and II in the Philippines (Pawlik et al. 2014), where there is a transition from exploiting mangrove invertebrate species (due to lowered sea levels and increased mangrove habitats) during the Late Pleistocene to an exploitation of brackish and shallow marine invertebrate species during the Eaarly Holocene, when sea levels rise and inundate the mangroves. By the Mid Holocene the invertebrates at Bubog I an II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palynological signatures of disrupted forest successions are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foragers occupying KTC, their pursuit of alternative resources initiated a distinct trajectory of economic change (cf.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Archaeological 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rockshelter and Moh Khiew cave.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 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2003:80; Maloney 1999). During this time, more arboreal taxa were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recognized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k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is consistent with a long trajectory of land management leading to full-time agriculture in the Late Holocene. Unlike northeast Thailand where Wohlfarth et al. (2016) link archaeological sequences to regional summer monsoon patterns, the changes we have observed at KTC in southern Thailand are more closely tied to fluctuations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Thanks to Rodrigo Solinis Casparius, Pat Goodwin, David Hunt, Julia Malakie, Heather McAuley, Sherri Middleton, Hanyu Song, and Joss Whittaker for their assistance with the geoarchaeological laboratory analysis. Thanks to Tuesday Kuykendall at the UW MS&amp;E XRD lab, Kyle Samek in the UW ESS IsoLab, and Dan Penny at the University of Sydney, Camperdown. Funding was provided by an ACLS/Luce Foundation grant to Peter Lape (University of Washington), an International Provost grant to BM from the University of Washington Office of the Provost, and an Australian Research Council Future Fellowship to BM (FT140100101).</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Thailand.</w:t>
      </w:r>
      <w:r>
        <w:t xml:space="preserve"> </w:t>
      </w:r>
      <w:r>
        <w:rPr>
          <w:i/>
        </w:rPr>
        <w:t xml:space="preserve">Arch. Molluskenkunde.</w:t>
      </w:r>
      <w:r>
        <w:t xml:space="preserve"> </w:t>
      </w:r>
      <w:r>
        <w:t xml:space="preserve">105, 1-423.</w:t>
      </w:r>
    </w:p>
    <w:p>
      <w:pPr>
        <w:pStyle w:val="BodyText"/>
      </w:pPr>
      <w:r>
        <w:t xml:space="preserve">Brantingham, P.J. (1991). Astride the Movius Line: Pleistocene Lithic Technological Variability in Northeast Asia. PhD. Dissertation, Department of Anthropology, University of Arizona, Tuscon.</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Chawchai, S., Yamoah, K.A., Smittenberg, R.H., Kurkela, J., Valiranta, M., Chabangborn, A., Blaauw, M., Fritz, S.C., Reimer, P. and Wohlfarth, B. (2016). LakeKumphawapi revisited - The complex climate and environmental record of a tropical wetland in NE Thailand.</w:t>
      </w:r>
      <w:r>
        <w:t xml:space="preserve"> </w:t>
      </w:r>
      <w:r>
        <w:rPr>
          <w:i/>
        </w:rPr>
        <w:t xml:space="preserve">The Holocene</w:t>
      </w:r>
      <w:r>
        <w:t xml:space="preserve"> </w:t>
      </w:r>
      <w:r>
        <w:t xml:space="preserve">26(4): 614-626.</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(2015). Archaeozoology in Mainland Southeast Asia: Changing Methodology and Pleistocene to Holocene Forager Subsistence Patterns in Thailand and Penisular Malaysia. Open Quaternary 1(7):1-23.</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Conrad, C., Higham, C., Eda, M. and Marwick, B. (2016). Palaeoecology and Forager Subsistence Strategies during the Pleistocene-Holocene Transition: A Reinvestigation of the Zooarchaeological Assemblage from Spirit Cave, Mae Hong Son Province, Thailand.</w:t>
      </w:r>
      <w:r>
        <w:t xml:space="preserve"> </w:t>
      </w:r>
      <w:r>
        <w:rPr>
          <w:i/>
        </w:rPr>
        <w:t xml:space="preserve">Asian Perspectives</w:t>
      </w:r>
      <w:r>
        <w:t xml:space="preserve"> </w:t>
      </w:r>
      <w:r>
        <w:t xml:space="preserve">55(1): 2-27.</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(1970).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(2014). Early Mainland Southeast Asian: From First Humans to Angkor. River Books, Bangkok.</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Hutterer, K. L., (1976). "An evolutionary approach to the Southeast Asian cultural sequence." Current Anthropology: 221-242.</w:t>
      </w:r>
    </w:p>
    <w:p>
      <w:pPr>
        <w:pStyle w:val="BodyText"/>
      </w:pPr>
      <w:r>
        <w:t xml:space="preserve">Jobbágy, E. G. , and R. B. Jackson .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Llyod-Smith, L.R. (2014). Death in the Landscape: The Locality of Ancestors in Neolithic Island Southeast Asia. In</w:t>
      </w:r>
      <w:r>
        <w:t xml:space="preserve"> </w:t>
      </w:r>
      <w:r>
        <w:rPr>
          <w:i/>
        </w:rPr>
        <w:t xml:space="preserve">Living in the Landscape: Essays in Honour of Graeme Barker</w:t>
      </w:r>
      <w:r>
        <w:t xml:space="preserve"> </w:t>
      </w:r>
      <w:r>
        <w:t xml:space="preserve">(eds. Boyle, Katherine, Ryan J. Rabett and Chris O. Hunt). McDonald Institute for Archaeological Research, Cambridge.</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Mheetong, S. (2014). An Analysis of Reptile from an Excavation at Moh Khiew Cave, Krabi Province. Unpublished M.A. Thesis, Department of Archaeology, Silpakorn University, Bangkok, Thailand.</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Moser, J. (2001). Hoabinhian: Geographie und Chronologie eines steinzeitlichen Technokomplexes in Sudostasien. Linden Soft: Koln.</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and Barker, G. (2010). Late Pleistocene and Early Holocene Forager Mobility in Southeast Asia. In</w:t>
      </w:r>
      <w:r>
        <w:t xml:space="preserve"> </w:t>
      </w:r>
      <w:r>
        <w:rPr>
          <w:i/>
        </w:rPr>
        <w:t xml:space="preserve">50 Years of Archaeological in Southeast Asia: Essays in Honour of Ian Glover</w:t>
      </w:r>
      <w:r>
        <w:t xml:space="preserve"> </w:t>
      </w:r>
      <w:r>
        <w:t xml:space="preserve">(eds. Berenice Bellina, Elizabeth A Bacus, Thomas Oliver Pryce, and Jan Wisseman Christie). River Books, Bangkok.</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Published M.A. Thesis, Department of Anthropology, San José State University. ProQuest ID: 1622150080.</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J.C. (1995). Modeling the Development of Early Rice Agriculture: Ethnoecological Perspectives from Northeast Thailand. Asian Perspectives 34(1):37-68.</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BodyText"/>
      </w:pPr>
      <w:r>
        <w:t xml:space="preserve">This report was generated on 2016-10-24 12:04:08 using the following computational environment and dependencies:</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English_United States.1252  </w:t>
      </w:r>
      <w:r>
        <w:br w:type="textWrapping"/>
      </w:r>
      <w:r>
        <w:rPr>
          <w:rStyle w:val="VerbatimChar"/>
        </w:rPr>
        <w:t xml:space="preserve">##  tz       America/Los_Angeles         </w:t>
      </w:r>
      <w:r>
        <w:br w:type="textWrapping"/>
      </w:r>
      <w:r>
        <w:rPr>
          <w:rStyle w:val="VerbatimChar"/>
        </w:rPr>
        <w:t xml:space="preserve">##  date     2016-10-24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analogue     * 0.17-0     2016-02-28 CRAN (R 3.3.1)                     </w:t>
      </w:r>
      <w:r>
        <w:br w:type="textWrapping"/>
      </w:r>
      <w:r>
        <w:rPr>
          <w:rStyle w:val="VerbatimChar"/>
        </w:rPr>
        <w:t xml:space="preserve">##  assertthat     0.1        2013-12-06 CRAN (R 3.3.1)                     </w:t>
      </w:r>
      <w:r>
        <w:br w:type="textWrapping"/>
      </w:r>
      <w:r>
        <w:rPr>
          <w:rStyle w:val="VerbatimChar"/>
        </w:rPr>
        <w:t xml:space="preserve">##  Bchron       * 4.2.4      2016-07-26 CRAN (R 3.3.1)                     </w:t>
      </w:r>
      <w:r>
        <w:br w:type="textWrapping"/>
      </w:r>
      <w:r>
        <w:rPr>
          <w:rStyle w:val="VerbatimChar"/>
        </w:rPr>
        <w:t xml:space="preserve">##  bookdown       0.1.1      2016-08-03 Github (rstudio/bookdown@902a670)  </w:t>
      </w:r>
      <w:r>
        <w:br w:type="textWrapping"/>
      </w:r>
      <w:r>
        <w:rPr>
          <w:rStyle w:val="VerbatimChar"/>
        </w:rPr>
        <w:t xml:space="preserve">##  brglm          0.5-9      2013-11-08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coda           0.18-1     2015-10-16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0.4-1      2016-05-08 CRAN (R 3.3.1)                     </w:t>
      </w:r>
      <w:r>
        <w:br w:type="textWrapping"/>
      </w:r>
      <w:r>
        <w:rPr>
          <w:rStyle w:val="VerbatimChar"/>
        </w:rPr>
        <w:t xml:space="preserve">##  devtools       1.12.0     2016-06-24 CRAN (R 3.3.1)                     </w:t>
      </w:r>
      <w:r>
        <w:br w:type="textWrapping"/>
      </w:r>
      <w:r>
        <w:rPr>
          <w:rStyle w:val="VerbatimChar"/>
        </w:rPr>
        <w:t xml:space="preserve">##  digest         0.6.9      2016-01-08 CRAN (R 3.3.1)                     </w:t>
      </w:r>
      <w:r>
        <w:br w:type="textWrapping"/>
      </w:r>
      <w:r>
        <w:rPr>
          <w:rStyle w:val="VerbatimChar"/>
        </w:rPr>
        <w:t xml:space="preserve">##  dplyr        * 0.5.0.9000 2016-08-03 Github (hadley/dplyr@8b28b0b)      </w:t>
      </w:r>
      <w:r>
        <w:br w:type="textWrapping"/>
      </w:r>
      <w:r>
        <w:rPr>
          <w:rStyle w:val="VerbatimChar"/>
        </w:rPr>
        <w:t xml:space="preserve">##  ellipse        0.3-8      2013-04-13 CRAN (R 3.3.1)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G2Sd           2.1.5      2015-12-07 CRAN (R 3.3.1)                     </w:t>
      </w:r>
      <w:r>
        <w:br w:type="textWrapping"/>
      </w:r>
      <w:r>
        <w:rPr>
          <w:rStyle w:val="VerbatimChar"/>
        </w:rPr>
        <w:t xml:space="preserve">##  geosphere      1.5-5      2016-06-15 CRAN (R 3.3.1)                     </w:t>
      </w:r>
      <w:r>
        <w:br w:type="textWrapping"/>
      </w:r>
      <w:r>
        <w:rPr>
          <w:rStyle w:val="VerbatimChar"/>
        </w:rPr>
        <w:t xml:space="preserve">##  ggmap          2.6.1      2016-01-23 CRAN (R 3.3.1)                     </w:t>
      </w:r>
      <w:r>
        <w:br w:type="textWrapping"/>
      </w:r>
      <w:r>
        <w:rPr>
          <w:rStyle w:val="VerbatimChar"/>
        </w:rPr>
        <w:t xml:space="preserve">##  ggplot2      * 2.1.0      2016-03-01 CRAN (R 3.3.1)                     </w:t>
      </w:r>
      <w:r>
        <w:br w:type="textWrapping"/>
      </w:r>
      <w:r>
        <w:rPr>
          <w:rStyle w:val="VerbatimChar"/>
        </w:rPr>
        <w:t xml:space="preserve">##  gridExtra      2.2.1      2016-08-03 Github (baptiste/gridextra@478a7d2)</w:t>
      </w:r>
      <w:r>
        <w:br w:type="textWrapping"/>
      </w:r>
      <w:r>
        <w:rPr>
          <w:rStyle w:val="VerbatimChar"/>
        </w:rPr>
        <w:t xml:space="preserve">##  gtable         0.2.0      2016-02-26 CRAN (R 3.3.1)                     </w:t>
      </w:r>
      <w:r>
        <w:br w:type="textWrapping"/>
      </w:r>
      <w:r>
        <w:rPr>
          <w:rStyle w:val="VerbatimChar"/>
        </w:rPr>
        <w:t xml:space="preserve">##  hdrcde         3.1        2013-10-19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inline       * 0.3.14     2015-04-13 CRAN (R 3.3.1)                     </w:t>
      </w:r>
      <w:r>
        <w:br w:type="textWrapping"/>
      </w:r>
      <w:r>
        <w:rPr>
          <w:rStyle w:val="VerbatimChar"/>
        </w:rPr>
        <w:t xml:space="preserve">##  jpeg           0.1-8      2014-01-23 CRAN (R 3.3.0)                     </w:t>
      </w:r>
      <w:r>
        <w:br w:type="textWrapping"/>
      </w:r>
      <w:r>
        <w:rPr>
          <w:rStyle w:val="VerbatimChar"/>
        </w:rPr>
        <w:t xml:space="preserve">##  knitr        * 1.14       2016-08-13 CRAN (R 3.3.1)                     </w:t>
      </w:r>
      <w:r>
        <w:br w:type="textWrapping"/>
      </w:r>
      <w:r>
        <w:rPr>
          <w:rStyle w:val="VerbatimChar"/>
        </w:rPr>
        <w:t xml:space="preserve">##  ktc11        * 0.1        2016-09-15 local                              </w:t>
      </w:r>
      <w:r>
        <w:br w:type="textWrapping"/>
      </w:r>
      <w:r>
        <w:rPr>
          <w:rStyle w:val="VerbatimChar"/>
        </w:rPr>
        <w:t xml:space="preserve">##  lattice      * 0.20-33    2015-07-14 CRAN (R 3.3.1)                     </w:t>
      </w:r>
      <w:r>
        <w:br w:type="textWrapping"/>
      </w:r>
      <w:r>
        <w:rPr>
          <w:rStyle w:val="VerbatimChar"/>
        </w:rPr>
        <w:t xml:space="preserve">##  latticeExtra * 0.6-28     2016-02-09 CRAN (R 3.3.1)                     </w:t>
      </w:r>
      <w:r>
        <w:br w:type="textWrapping"/>
      </w:r>
      <w:r>
        <w:rPr>
          <w:rStyle w:val="VerbatimChar"/>
        </w:rPr>
        <w:t xml:space="preserve">##  lazyeval       0.2.0      2016-06-12 CRAN (R 3.3.1)                     </w:t>
      </w:r>
      <w:r>
        <w:br w:type="textWrapping"/>
      </w:r>
      <w:r>
        <w:rPr>
          <w:rStyle w:val="VerbatimChar"/>
        </w:rPr>
        <w:t xml:space="preserve">##  legendMap      1.0        2016-08-03 Github (3wen/legendMap@707f00c)    </w:t>
      </w:r>
      <w:r>
        <w:br w:type="textWrapping"/>
      </w:r>
      <w:r>
        <w:rPr>
          <w:rStyle w:val="VerbatimChar"/>
        </w:rPr>
        <w:t xml:space="preserve">##  magrittr       1.5        2014-11-22 CRAN (R 3.3.1)                     </w:t>
      </w:r>
      <w:r>
        <w:br w:type="textWrapping"/>
      </w:r>
      <w:r>
        <w:rPr>
          <w:rStyle w:val="VerbatimChar"/>
        </w:rPr>
        <w:t xml:space="preserve">##  mapproj        1.2-4      2015-08-03 CRAN (R 3.3.1)                     </w:t>
      </w:r>
      <w:r>
        <w:br w:type="textWrapping"/>
      </w:r>
      <w:r>
        <w:rPr>
          <w:rStyle w:val="VerbatimChar"/>
        </w:rPr>
        <w:t xml:space="preserve">##  maps           3.1.1      2016-07-27 CRAN (R 3.3.1)                     </w:t>
      </w:r>
      <w:r>
        <w:br w:type="textWrapping"/>
      </w:r>
      <w:r>
        <w:rPr>
          <w:rStyle w:val="VerbatimChar"/>
        </w:rPr>
        <w:t xml:space="preserve">##  maptools     * 0.8-39     2016-01-30 CRAN (R 3.3.1)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3.3.1)                     </w:t>
      </w:r>
      <w:r>
        <w:br w:type="textWrapping"/>
      </w:r>
      <w:r>
        <w:rPr>
          <w:rStyle w:val="VerbatimChar"/>
        </w:rPr>
        <w:t xml:space="preserve">##  memoise        1.0.0      2016-01-29 CRAN (R 3.3.1)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3.3.1)                     </w:t>
      </w:r>
      <w:r>
        <w:br w:type="textWrapping"/>
      </w:r>
      <w:r>
        <w:rPr>
          <w:rStyle w:val="VerbatimChar"/>
        </w:rPr>
        <w:t xml:space="preserve">##  plyr           1.8.4      2016-06-08 CRAN (R 3.3.1)                     </w:t>
      </w:r>
      <w:r>
        <w:br w:type="textWrapping"/>
      </w:r>
      <w:r>
        <w:rPr>
          <w:rStyle w:val="VerbatimChar"/>
        </w:rPr>
        <w:t xml:space="preserve">##  png            0.1-7      2013-12-03 CRAN (R 3.3.0)                     </w:t>
      </w:r>
      <w:r>
        <w:br w:type="textWrapping"/>
      </w:r>
      <w:r>
        <w:rPr>
          <w:rStyle w:val="VerbatimChar"/>
        </w:rPr>
        <w:t xml:space="preserve">##  princurve      1.1-12     2013-04-25 CRAN (R 3.3.0)                     </w:t>
      </w:r>
      <w:r>
        <w:br w:type="textWrapping"/>
      </w:r>
      <w:r>
        <w:rPr>
          <w:rStyle w:val="VerbatimChar"/>
        </w:rPr>
        <w:t xml:space="preserve">##  proto          0.3-10     2012-12-22 CRAN (R 3.3.0)                     </w:t>
      </w:r>
      <w:r>
        <w:br w:type="textWrapping"/>
      </w:r>
      <w:r>
        <w:rPr>
          <w:rStyle w:val="VerbatimChar"/>
        </w:rPr>
        <w:t xml:space="preserve">##  R6             2.1.2      2016-01-26 CRAN (R 3.3.1)                     </w:t>
      </w:r>
      <w:r>
        <w:br w:type="textWrapping"/>
      </w:r>
      <w:r>
        <w:rPr>
          <w:rStyle w:val="VerbatimChar"/>
        </w:rPr>
        <w:t xml:space="preserve">##  RColorBrewer * 1.1-2      2014-12-07 CRAN (R 3.3.0)                     </w:t>
      </w:r>
      <w:r>
        <w:br w:type="textWrapping"/>
      </w:r>
      <w:r>
        <w:rPr>
          <w:rStyle w:val="VerbatimChar"/>
        </w:rPr>
        <w:t xml:space="preserve">##  Rcpp           0.12.6     2016-07-19 CRAN (R 3.3.1)                     </w:t>
      </w:r>
      <w:r>
        <w:br w:type="textWrapping"/>
      </w:r>
      <w:r>
        <w:rPr>
          <w:rStyle w:val="VerbatimChar"/>
        </w:rPr>
        <w:t xml:space="preserve">##  readr          0.2.2      2015-10-22 CRAN (R 3.3.1)                     </w:t>
      </w:r>
      <w:r>
        <w:br w:type="textWrapping"/>
      </w:r>
      <w:r>
        <w:rPr>
          <w:rStyle w:val="VerbatimChar"/>
        </w:rPr>
        <w:t xml:space="preserve">##  reshape2       1.4.1      2014-12-06 CRAN (R 3.3.1)                     </w:t>
      </w:r>
      <w:r>
        <w:br w:type="textWrapping"/>
      </w:r>
      <w:r>
        <w:rPr>
          <w:rStyle w:val="VerbatimChar"/>
        </w:rPr>
        <w:t xml:space="preserve">##  RgoogleMaps    1.2.0.7    2015-01-21 CRAN (R 3.3.1)                     </w:t>
      </w:r>
      <w:r>
        <w:br w:type="textWrapping"/>
      </w:r>
      <w:r>
        <w:rPr>
          <w:rStyle w:val="VerbatimChar"/>
        </w:rPr>
        <w:t xml:space="preserve">##  rJava          0.9-8      2016-01-07 CRAN (R 3.3.0)                     </w:t>
      </w:r>
      <w:r>
        <w:br w:type="textWrapping"/>
      </w:r>
      <w:r>
        <w:rPr>
          <w:rStyle w:val="VerbatimChar"/>
        </w:rPr>
        <w:t xml:space="preserve">##  rjson          0.2.15     2014-11-03 CRAN (R 3.3.0)                     </w:t>
      </w:r>
      <w:r>
        <w:br w:type="textWrapping"/>
      </w:r>
      <w:r>
        <w:rPr>
          <w:rStyle w:val="VerbatimChar"/>
        </w:rPr>
        <w:t xml:space="preserve">##  RJSONIO        1.3-0      2014-07-28 CRAN (R 3.3.0)                     </w:t>
      </w:r>
      <w:r>
        <w:br w:type="textWrapping"/>
      </w:r>
      <w:r>
        <w:rPr>
          <w:rStyle w:val="VerbatimChar"/>
        </w:rPr>
        <w:t xml:space="preserve">##  rmarkdown      1.1        2016-10-16 CRAN (R 3.3.1)                     </w:t>
      </w:r>
      <w:r>
        <w:br w:type="textWrapping"/>
      </w:r>
      <w:r>
        <w:rPr>
          <w:rStyle w:val="VerbatimChar"/>
        </w:rPr>
        <w:t xml:space="preserve">##  rpart          4.1-10     2015-06-29 CRAN (R 3.3.1)                     </w:t>
      </w:r>
      <w:r>
        <w:br w:type="textWrapping"/>
      </w:r>
      <w:r>
        <w:rPr>
          <w:rStyle w:val="VerbatimChar"/>
        </w:rPr>
        <w:t xml:space="preserve">##  scales       * 0.4.0      2016-02-26 CRAN (R 3.3.1)                     </w:t>
      </w:r>
      <w:r>
        <w:br w:type="textWrapping"/>
      </w:r>
      <w:r>
        <w:rPr>
          <w:rStyle w:val="VerbatimChar"/>
        </w:rPr>
        <w:t xml:space="preserve">##  shiny          0.13.2     2016-03-28 CRAN (R 3.3.1)                     </w:t>
      </w:r>
      <w:r>
        <w:br w:type="textWrapping"/>
      </w:r>
      <w:r>
        <w:rPr>
          <w:rStyle w:val="VerbatimChar"/>
        </w:rPr>
        <w:t xml:space="preserve">##  sp           * 1.2-3      2016-04-14 CRAN (R 3.3.1)                     </w:t>
      </w:r>
      <w:r>
        <w:br w:type="textWrapping"/>
      </w:r>
      <w:r>
        <w:rPr>
          <w:rStyle w:val="VerbatimChar"/>
        </w:rPr>
        <w:t xml:space="preserve">##  stringi        1.1.1      2016-05-27 CRAN (R 3.3.0)                     </w:t>
      </w:r>
      <w:r>
        <w:br w:type="textWrapping"/>
      </w:r>
      <w:r>
        <w:rPr>
          <w:rStyle w:val="VerbatimChar"/>
        </w:rPr>
        <w:t xml:space="preserve">##  stringr        1.0.0      2015-04-30 CRAN (R 3.3.1)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3.3.1)                     </w:t>
      </w:r>
      <w:r>
        <w:br w:type="textWrapping"/>
      </w:r>
      <w:r>
        <w:rPr>
          <w:rStyle w:val="VerbatimChar"/>
        </w:rPr>
        <w:t xml:space="preserve">##  xlsx           0.5.7      2014-08-02 CRAN (R 3.3.0)                     </w:t>
      </w:r>
      <w:r>
        <w:br w:type="textWrapping"/>
      </w:r>
      <w:r>
        <w:rPr>
          <w:rStyle w:val="VerbatimChar"/>
        </w:rPr>
        <w:t xml:space="preserve">##  xlsxjars       0.6.1      2014-08-22 CRAN (R 3.3.0)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ed5940bc5c377a525dcf4ec4b36dfc7bad914025, which is on the hgvanvlack-patch-1 branch and was made by benmarwick on 2016-10-24 11:07:49. The current commit message is "Merge branch 'hgvanvlack-patch-1'".</w:t>
      </w:r>
    </w:p>
    <w:sectPr w:rsidR="00047336" w:rsidSect="00CB687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4C34E9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EC6704F"/>
    <w:multiLevelType w:val="multilevel"/>
    <w:tmpl w:val="04D609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12a721c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B687C"/>
    <w:pPr>
      <w:keepNext/>
      <w:keepLines/>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CB687C"/>
    <w:pPr>
      <w:keepNext/>
      <w:keepLines/>
      <w:spacing w:before="200" w:after="0"/>
      <w:outlineLvl w:val="1"/>
    </w:pPr>
    <w:rPr>
      <w:rFonts w:ascii="Times New Roman" w:eastAsiaTheme="majorEastAsia" w:hAnsi="Times New Roman" w:cstheme="majorBidi"/>
      <w:bCs/>
      <w:sz w:val="28"/>
      <w:szCs w:val="32"/>
      <w:u w:val="single"/>
    </w:rPr>
  </w:style>
  <w:style w:type="paragraph" w:styleId="Heading3">
    <w:name w:val="heading 3"/>
    <w:basedOn w:val="Normal"/>
    <w:next w:val="BodyText"/>
    <w:uiPriority w:val="9"/>
    <w:unhideWhenUsed/>
    <w:qFormat/>
    <w:rsid w:val="00CB687C"/>
    <w:pPr>
      <w:keepNext/>
      <w:keepLines/>
      <w:spacing w:before="200" w:after="0"/>
      <w:outlineLvl w:val="2"/>
    </w:pPr>
    <w:rPr>
      <w:rFonts w:ascii="Times New Roman" w:eastAsiaTheme="majorEastAsia" w:hAnsi="Times New Roman" w:cstheme="majorBidi"/>
      <w:bCs/>
      <w:sz w:val="28"/>
      <w:szCs w:val="28"/>
    </w:rPr>
  </w:style>
  <w:style w:type="paragraph" w:styleId="Heading4">
    <w:name w:val="heading 4"/>
    <w:basedOn w:val="Normal"/>
    <w:next w:val="BodyText"/>
    <w:uiPriority w:val="9"/>
    <w:unhideWhenUsed/>
    <w:qFormat/>
    <w:rsid w:val="00CB687C"/>
    <w:pPr>
      <w:keepNext/>
      <w:keepLines/>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B687C"/>
    <w:pPr>
      <w:spacing w:before="180" w:after="180"/>
    </w:pPr>
    <w:rPr>
      <w:rFonts w:ascii="Times New Roman" w:hAnsi="Times New Roman"/>
    </w:rPr>
  </w:style>
  <w:style w:type="paragraph" w:customStyle="1" w:styleId="FirstParagraph">
    <w:name w:val="First Paragraph"/>
    <w:basedOn w:val="BodyText"/>
    <w:next w:val="BodyText"/>
    <w:qFormat/>
    <w:rsid w:val="00CB687C"/>
  </w:style>
  <w:style w:type="paragraph" w:customStyle="1" w:styleId="Compact">
    <w:name w:val="Compact"/>
    <w:basedOn w:val="BodyText"/>
    <w:qFormat/>
    <w:rsid w:val="00CB687C"/>
    <w:pPr>
      <w:spacing w:before="36" w:after="36"/>
      <w:jc w:val="right"/>
    </w:pPr>
    <w:rPr>
      <w:rFonts w:ascii="Arial" w:hAnsi="Arial"/>
      <w:sz w:val="20"/>
    </w:rPr>
  </w:style>
  <w:style w:type="paragraph" w:styleId="Title">
    <w:name w:val="Title"/>
    <w:basedOn w:val="Normal"/>
    <w:next w:val="BodyText"/>
    <w:qFormat/>
    <w:rsid w:val="00CB687C"/>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B687C"/>
    <w:pPr>
      <w:keepNext/>
      <w:keepLines/>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CB687C"/>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B687C"/>
    <w:pPr>
      <w:spacing w:after="0"/>
    </w:pPr>
    <w:rPr>
      <w:rFonts w:ascii="Tahoma" w:hAnsi="Tahoma" w:cs="Tahoma"/>
      <w:sz w:val="16"/>
      <w:szCs w:val="16"/>
    </w:rPr>
  </w:style>
  <w:style w:type="character" w:customStyle="1" w:styleId="BalloonTextChar">
    <w:name w:val="Balloon Text Char"/>
    <w:basedOn w:val="DefaultParagraphFont"/>
    <w:link w:val="BalloonText"/>
    <w:rsid w:val="00CB687C"/>
    <w:rPr>
      <w:rFonts w:ascii="Tahoma" w:hAnsi="Tahoma" w:cs="Tahoma"/>
      <w:sz w:val="16"/>
      <w:szCs w:val="16"/>
    </w:rPr>
  </w:style>
  <w:style w:type="table" w:customStyle="1" w:styleId="Style1">
    <w:name w:val="Style1"/>
    <w:basedOn w:val="TableNormal"/>
    <w:uiPriority w:val="99"/>
    <w:rsid w:val="00CB687C"/>
    <w:pPr>
      <w:spacing w:after="0"/>
      <w:jc w:val="right"/>
    </w:pPr>
    <w:rPr>
      <w:rFonts w:ascii="Arial" w:hAnsi="Arial"/>
      <w:sz w:val="20"/>
    </w:rPr>
    <w:tblPr/>
    <w:tcPr>
      <w:vAlign w:val="center"/>
    </w:tcPr>
  </w:style>
  <w:style w:type="character" w:styleId="LineNumber">
    <w:name w:val="line number"/>
    <w:basedOn w:val="DefaultParagraphFont"/>
    <w:rsid w:val="00CB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272</Words>
  <Characters>1557</Characters>
  <Application>Microsoft Office Word</Application>
  <DocSecurity>0</DocSecurity>
  <Lines>12</Lines>
  <Paragraphs>3</Paragraphs>
  <ScaleCrop>false</ScaleCrop>
  <Company>University of Wollongong</Company>
  <LinksUpToDate>false</LinksUpToDate>
  <CharactersWithSpaces>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2016-10-24T19:04:59Z</dcterms:created>
  <dcterms:modified xsi:type="dcterms:W3CDTF">2016-10-24T19:04:59Z</dcterms:modified>
</cp:coreProperties>
</file>